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629CD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78DE88EB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0C378B59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49E97F11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1DBC8FB0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8355ED">
        <w:rPr>
          <w:rFonts w:ascii="Calibri" w:hAnsi="Calibri" w:cstheme="minorHAnsi"/>
          <w:sz w:val="18"/>
          <w:szCs w:val="18"/>
        </w:rPr>
        <w:t>(</w:t>
      </w:r>
      <w:r w:rsidR="006204D3" w:rsidRPr="008355ED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8355ED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8355ED">
        <w:rPr>
          <w:rFonts w:ascii="Calibri" w:hAnsi="Calibri" w:cstheme="minorHAnsi"/>
          <w:sz w:val="18"/>
          <w:szCs w:val="18"/>
        </w:rPr>
        <w:t>C</w:t>
      </w:r>
      <w:r w:rsidR="009802C4" w:rsidRPr="008355ED">
        <w:rPr>
          <w:rFonts w:ascii="Calibri" w:hAnsi="Calibri" w:cstheme="minorHAnsi"/>
          <w:sz w:val="18"/>
          <w:szCs w:val="18"/>
        </w:rPr>
        <w:t>ontratto).</w:t>
      </w:r>
    </w:p>
    <w:p w14:paraId="65E1049D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047AE54A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79BAEAB9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12CBA6CF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29CB0062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6BDA7761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3722C4E4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BE83405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62091D0" w14:textId="77777777" w:rsidR="00796877" w:rsidRPr="008355ED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8355ED">
        <w:rPr>
          <w:rFonts w:ascii="Calibri" w:hAnsi="Calibri" w:cstheme="minorHAnsi"/>
          <w:sz w:val="18"/>
          <w:szCs w:val="18"/>
          <w:lang w:val="it-IT"/>
        </w:rPr>
        <w:t>“</w:t>
      </w:r>
      <w:r w:rsidRPr="008355ED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8355ED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8355ED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8355ED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8355ED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8355ED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8355ED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8355ED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8355ED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8355E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8355ED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8355ED">
        <w:rPr>
          <w:rFonts w:ascii="Calibri" w:hAnsi="Calibri" w:cstheme="minorHAnsi"/>
          <w:sz w:val="18"/>
          <w:szCs w:val="18"/>
          <w:lang w:val="it-IT"/>
        </w:rPr>
        <w:t>.</w:t>
      </w:r>
    </w:p>
    <w:p w14:paraId="4A86A4EA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8355ED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8355ED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8355ED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8355ED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8355ED">
        <w:rPr>
          <w:rFonts w:ascii="Calibri" w:hAnsi="Calibri" w:cstheme="minorHAnsi"/>
          <w:sz w:val="18"/>
          <w:szCs w:val="18"/>
          <w:lang w:val="it-IT"/>
        </w:rPr>
        <w:t>:</w:t>
      </w:r>
      <w:r w:rsidRPr="008355E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8355ED">
        <w:rPr>
          <w:rFonts w:ascii="Calibri" w:hAnsi="Calibri" w:cstheme="minorHAnsi"/>
          <w:sz w:val="18"/>
          <w:szCs w:val="18"/>
          <w:lang w:val="it-IT"/>
        </w:rPr>
        <w:t>le</w:t>
      </w:r>
      <w:r w:rsidRPr="008355ED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8355ED">
        <w:rPr>
          <w:rFonts w:ascii="Calibri" w:hAnsi="Calibri" w:cstheme="minorHAnsi"/>
          <w:sz w:val="18"/>
          <w:szCs w:val="18"/>
          <w:lang w:val="it-IT"/>
        </w:rPr>
        <w:t>, logica</w:t>
      </w:r>
      <w:r w:rsidRPr="008355ED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2A71825F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5FA3366D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136BCB1E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295BF75F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82DB733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1CDA0881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738502B2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50C54B97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BF1D378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74A86D9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11240E06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2F3AB1D4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79C4EDF3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12E97E9D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22AAFFEA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1528744D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4C025B9B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1181148A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1FFDB3B3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2E38B07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4E5983CD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5B223DC4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4BA8706E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17EDF8D7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1F701185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95CE4BF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BC04D86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4B6AFB39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6234A920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19490E4A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2B5E24F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36B7B7BB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1106244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2C96A2AC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29EB5D67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456B05BE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5C8353F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5CAF88F4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5525D507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76A45F6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330AAEBB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3BDE16E6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52213CA9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02107B1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6E310B82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6A935DE1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3285710F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444F0AA4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27580647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76F59D51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7A13039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0DC3E808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2FA92EE8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0879565F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31F3370E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5A93E4EF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6C27E49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E73B214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578370F9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6891D3C6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bookmarkStart w:id="16" w:name="_GoBack"/>
    </w:p>
    <w:bookmarkEnd w:id="16"/>
    <w:p w14:paraId="3D765288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7F49120E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31469D72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7D12E9B7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599D0060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7724361E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433D1588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96FED55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75F09112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28FA4C69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25522F2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5CE7272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2AD51FE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4D352DD1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0C2B896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7D435CD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1C4E23F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CC76012" w14:textId="77777777" w:rsidR="00AE59A6" w:rsidRPr="00B245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bookmarkStart w:id="18" w:name="_Hlk509930490"/>
      <w:commentRangeStart w:id="19"/>
      <w:r w:rsidRPr="00B245D0">
        <w:rPr>
          <w:rFonts w:ascii="Calibri" w:hAnsi="Calibri" w:cstheme="minorHAnsi"/>
          <w:sz w:val="18"/>
          <w:szCs w:val="18"/>
          <w:highlight w:val="yellow"/>
        </w:rPr>
        <w:t>Le modalità di svolgimento delle attività di privacy by design e privacy impact assessment da parte del Fornitore per l’individuazione delle misure di sicurezza di cui all’art</w:t>
      </w:r>
      <w:commentRangeEnd w:id="19"/>
      <w:r w:rsidR="006204D3">
        <w:rPr>
          <w:rStyle w:val="Rimandocommento"/>
        </w:rPr>
        <w:commentReference w:id="19"/>
      </w:r>
      <w:r w:rsidRPr="00B245D0">
        <w:rPr>
          <w:rFonts w:ascii="Calibri" w:hAnsi="Calibri" w:cstheme="minorHAnsi"/>
          <w:sz w:val="18"/>
          <w:szCs w:val="18"/>
          <w:highlight w:val="yellow"/>
        </w:rPr>
        <w:t>. 32 del Regolamento, dovranno essere conformi a:</w:t>
      </w:r>
    </w:p>
    <w:p w14:paraId="07BD9777" w14:textId="77777777"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0F686CB3" w14:textId="77777777"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Documento WP 243 – Linee guida sui responsabili della protezione dei dati (RPD) del 13 dicembre 2016;</w:t>
      </w:r>
    </w:p>
    <w:p w14:paraId="341ED8E8" w14:textId="77777777"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1E7419DE" w14:textId="77777777"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>Standard ISO/IEC 29134:2017 Information technology -- Security techniques -- Guidelines for privacy impact assessment;</w:t>
      </w:r>
    </w:p>
    <w:p w14:paraId="67112E77" w14:textId="77777777"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 xml:space="preserve">Standard ISO/IEC 27001:2013 Information technology -- Security techniques -- Information security management systems; </w:t>
      </w:r>
    </w:p>
    <w:p w14:paraId="19307CC0" w14:textId="77777777"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>Standard ISO/IEC 31000:2018 Risk management -- Guidelines</w:t>
      </w:r>
    </w:p>
    <w:p w14:paraId="742E8C57" w14:textId="77777777" w:rsidR="00AE59A6" w:rsidRPr="00B245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 particolare le attività da svolgersi dovranno soddisfare i seguenti criteri comunque soggetti a possibili aggiornamenti e modifiche da parte della Sogei :</w:t>
      </w:r>
    </w:p>
    <w:p w14:paraId="38CAE775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analisi preliminare delle informazioni del trattamento in oggetto presenti nel Registro del titolare</w:t>
      </w:r>
    </w:p>
    <w:p w14:paraId="5B1E4519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334DC8DE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definizione delle funzionalità che compongono il servizio ICT</w:t>
      </w:r>
    </w:p>
    <w:p w14:paraId="4A1FBEFF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3EEF0804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della necessità e proporzionalità dei trattamenti in relazione alle finalità</w:t>
      </w:r>
    </w:p>
    <w:p w14:paraId="731350F3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dei dati trattati</w:t>
      </w:r>
    </w:p>
    <w:p w14:paraId="47156FC4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di trattamento, come previsto dalle linee guida WP 248</w:t>
      </w:r>
    </w:p>
    <w:p w14:paraId="1C6D84DA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 caso di un’alta valutazione dei rischi per i diritti e le libertà dell’interessato, individuazione delle misure di sicurezza specifiche per PIA e relativa valutazione di adeguatezza</w:t>
      </w:r>
    </w:p>
    <w:p w14:paraId="308E6016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6108EB01" w14:textId="77777777"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2E2C7C5A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7BAB4D40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75BF982B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14:paraId="523D96A4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1FC8F682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BA5A666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1CED9AB5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6254CAC6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69F3F088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4E5F931B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439B5CC2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3A42522C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D5737B4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3600C670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6C98C8E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0D220393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CEFC5AA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457EEB7E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311D076F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41B2EBD1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080D7723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7A034C3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14:paraId="2814D56A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424BFC4E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781B0A09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405CE2F8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467C2CEB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4D411A2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76B53AA8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219831D3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66BC299E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5B95748E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14:paraId="0FA5437B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14:paraId="521A7BA2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14:paraId="5D05C74C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41BB9975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54FAF817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3B0C7B59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68E4DBDF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2ED3F259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14050F3C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21262E8A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" w:author="SOGEI" w:date="2018-06-25T18:13:00Z" w:initials="TA">
    <w:p w14:paraId="4C7857E1" w14:textId="77777777"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C7857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CD212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61726DDC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1A6472A6" w14:textId="72AD3600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A1B">
          <w:rPr>
            <w:noProof/>
          </w:rPr>
          <w:t>5</w:t>
        </w:r>
        <w:r>
          <w:fldChar w:fldCharType="end"/>
        </w:r>
      </w:p>
    </w:sdtContent>
  </w:sdt>
  <w:p w14:paraId="1A8F1144" w14:textId="2C96EE05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7D9611B3" w14:textId="77777777" w:rsidR="00113852" w:rsidRDefault="008355ED" w:rsidP="00067201">
    <w:pPr>
      <w:pStyle w:val="Pidipagina"/>
      <w:jc w:val="both"/>
      <w:rPr>
        <w:sz w:val="18"/>
        <w:szCs w:val="18"/>
      </w:rPr>
    </w:pPr>
    <w:r w:rsidRPr="008355ED">
      <w:rPr>
        <w:rFonts w:ascii="Calibri" w:hAnsi="Calibri"/>
        <w:kern w:val="2"/>
        <w:sz w:val="18"/>
        <w:szCs w:val="18"/>
      </w:rPr>
      <w:t>Affidamento diretto al di fuori del MEPA (ex art. 36 comma 2 lettera a) - d.lgs. 50/2016)</w:t>
    </w:r>
    <w:r w:rsidR="00FD10CA">
      <w:rPr>
        <w:rFonts w:ascii="Calibri" w:hAnsi="Calibri"/>
        <w:kern w:val="2"/>
        <w:sz w:val="18"/>
        <w:szCs w:val="18"/>
      </w:rPr>
      <w:t>, per</w:t>
    </w:r>
    <w:r>
      <w:rPr>
        <w:rFonts w:ascii="Calibri" w:hAnsi="Calibri"/>
        <w:kern w:val="2"/>
        <w:sz w:val="18"/>
        <w:szCs w:val="18"/>
      </w:rPr>
      <w:t xml:space="preserve"> </w:t>
    </w:r>
    <w:r w:rsidRPr="008355ED">
      <w:rPr>
        <w:rFonts w:ascii="Calibri" w:hAnsi="Calibri"/>
        <w:kern w:val="2"/>
        <w:sz w:val="18"/>
        <w:szCs w:val="18"/>
      </w:rPr>
      <w:t>N. 2 quote di partecipazione al “Master Universitario di II Livello in Procurement Management. Approvvigionamenti e Appalti.</w:t>
    </w:r>
  </w:p>
  <w:p w14:paraId="0132027B" w14:textId="77777777" w:rsidR="00EB55C0" w:rsidRDefault="008355ED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>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ADA55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325DEE66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322E3044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21A1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355ED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8638B8D"/>
  <w15:docId w15:val="{56888437-B9E6-4657-8170-56AC75C7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AF184-7F65-4024-93CF-3A84293AD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5375</Words>
  <Characters>30640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7</cp:revision>
  <cp:lastPrinted>2018-06-25T13:06:00Z</cp:lastPrinted>
  <dcterms:created xsi:type="dcterms:W3CDTF">2018-06-25T16:14:00Z</dcterms:created>
  <dcterms:modified xsi:type="dcterms:W3CDTF">2020-01-27T14:07:00Z</dcterms:modified>
</cp:coreProperties>
</file>